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941" w:rsidRDefault="0065392F">
      <w:pPr>
        <w:widowControl w:val="0"/>
        <w:pBdr>
          <w:top w:val="nil"/>
          <w:left w:val="nil"/>
          <w:bottom w:val="nil"/>
          <w:right w:val="nil"/>
          <w:between w:val="nil"/>
        </w:pBdr>
        <w:spacing w:before="609" w:line="240" w:lineRule="auto"/>
        <w:ind w:right="5"/>
        <w:jc w:val="center"/>
        <w:rPr>
          <w:i/>
        </w:rPr>
      </w:pPr>
      <w:bookmarkStart w:id="0" w:name="_GoBack"/>
      <w:bookmarkEnd w:id="0"/>
      <w:r>
        <w:rPr>
          <w:i/>
          <w:noProof/>
        </w:rPr>
        <w:drawing>
          <wp:inline distT="114300" distB="114300" distL="114300" distR="114300">
            <wp:extent cx="2424113" cy="81076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424113" cy="810767"/>
                    </a:xfrm>
                    <a:prstGeom prst="rect">
                      <a:avLst/>
                    </a:prstGeom>
                    <a:ln/>
                  </pic:spPr>
                </pic:pic>
              </a:graphicData>
            </a:graphic>
          </wp:inline>
        </w:drawing>
      </w:r>
    </w:p>
    <w:p w:rsidR="003F3941" w:rsidRDefault="0065392F">
      <w:pPr>
        <w:jc w:val="center"/>
        <w:rPr>
          <w:rFonts w:ascii="Helvetica Neue" w:eastAsia="Helvetica Neue" w:hAnsi="Helvetica Neue" w:cs="Helvetica Neue"/>
          <w:color w:val="06345E"/>
          <w:sz w:val="28"/>
          <w:szCs w:val="28"/>
        </w:rPr>
      </w:pPr>
      <w:r>
        <w:rPr>
          <w:rFonts w:ascii="Helvetica Neue" w:eastAsia="Helvetica Neue" w:hAnsi="Helvetica Neue" w:cs="Helvetica Neue"/>
          <w:color w:val="06345E"/>
          <w:sz w:val="48"/>
          <w:szCs w:val="48"/>
        </w:rPr>
        <w:t>SEARCHER</w:t>
      </w:r>
    </w:p>
    <w:p w:rsidR="003F3941" w:rsidRDefault="003F3941">
      <w:pPr>
        <w:widowControl w:val="0"/>
        <w:ind w:right="887"/>
        <w:jc w:val="center"/>
        <w:rPr>
          <w:i/>
          <w:sz w:val="32"/>
          <w:szCs w:val="32"/>
        </w:rPr>
      </w:pPr>
    </w:p>
    <w:p w:rsidR="003F3941" w:rsidRDefault="0065392F">
      <w:pPr>
        <w:widowControl w:val="0"/>
        <w:ind w:right="887"/>
        <w:jc w:val="center"/>
      </w:pPr>
      <w:r>
        <w:rPr>
          <w:i/>
          <w:sz w:val="32"/>
          <w:szCs w:val="32"/>
        </w:rPr>
        <w:t xml:space="preserve">FAQ: </w:t>
      </w:r>
      <w:proofErr w:type="spellStart"/>
      <w:r>
        <w:rPr>
          <w:i/>
          <w:sz w:val="32"/>
          <w:szCs w:val="32"/>
        </w:rPr>
        <w:t>Courtsdesk</w:t>
      </w:r>
      <w:proofErr w:type="spellEnd"/>
      <w:r>
        <w:rPr>
          <w:i/>
          <w:sz w:val="32"/>
          <w:szCs w:val="32"/>
        </w:rPr>
        <w:t xml:space="preserve"> Litigation Search for Private Investigators </w:t>
      </w:r>
    </w:p>
    <w:p w:rsidR="003F3941" w:rsidRDefault="003F3941"/>
    <w:p w:rsidR="003F3941" w:rsidRDefault="0065392F">
      <w:pPr>
        <w:rPr>
          <w:b/>
        </w:rPr>
      </w:pPr>
      <w:r>
        <w:rPr>
          <w:b/>
        </w:rPr>
        <w:t xml:space="preserve">Q: WHAT IS COURTSDESK SEARCHER? </w:t>
      </w:r>
    </w:p>
    <w:p w:rsidR="003F3941" w:rsidRDefault="0065392F">
      <w:r>
        <w:rPr>
          <w:b/>
        </w:rPr>
        <w:t>A:</w:t>
      </w:r>
      <w:r>
        <w:t xml:space="preserve"> </w:t>
      </w:r>
      <w:proofErr w:type="spellStart"/>
      <w:r>
        <w:t>Courtsdesk</w:t>
      </w:r>
      <w:proofErr w:type="spellEnd"/>
      <w:r>
        <w:t xml:space="preserve"> Searcher is an on-demand search for court cases, or parties involved in court cases, in England and Wales. </w:t>
      </w:r>
    </w:p>
    <w:p w:rsidR="003F3941" w:rsidRDefault="0065392F">
      <w:pPr>
        <w:widowControl w:val="0"/>
        <w:pBdr>
          <w:top w:val="nil"/>
          <w:left w:val="nil"/>
          <w:bottom w:val="nil"/>
          <w:right w:val="nil"/>
          <w:between w:val="nil"/>
        </w:pBdr>
        <w:spacing w:before="384"/>
        <w:ind w:right="71"/>
        <w:rPr>
          <w:color w:val="000000"/>
        </w:rPr>
      </w:pPr>
      <w:r>
        <w:rPr>
          <w:color w:val="000000"/>
        </w:rPr>
        <w:t xml:space="preserve">To use the service, simply enter the names or keywords into an online form (linked below) </w:t>
      </w:r>
      <w:proofErr w:type="gramStart"/>
      <w:r>
        <w:rPr>
          <w:color w:val="000000"/>
        </w:rPr>
        <w:t>and</w:t>
      </w:r>
      <w:proofErr w:type="gramEnd"/>
      <w:r>
        <w:rPr>
          <w:color w:val="000000"/>
        </w:rPr>
        <w:t xml:space="preserve"> our team of analysts will run the search to your specification. </w:t>
      </w:r>
    </w:p>
    <w:p w:rsidR="003F3941" w:rsidRDefault="0065392F">
      <w:pPr>
        <w:widowControl w:val="0"/>
        <w:pBdr>
          <w:top w:val="nil"/>
          <w:left w:val="nil"/>
          <w:bottom w:val="nil"/>
          <w:right w:val="nil"/>
          <w:between w:val="nil"/>
        </w:pBdr>
        <w:spacing w:before="384"/>
        <w:ind w:right="71"/>
      </w:pPr>
      <w:r>
        <w:rPr>
          <w:color w:val="000000"/>
        </w:rPr>
        <w:t>We undertake to reply within a maximum of four hours with a time-stamped report including any and</w:t>
      </w:r>
      <w:r>
        <w:rPr>
          <w:color w:val="000000"/>
        </w:rPr>
        <w:t xml:space="preserve"> all matches for your search query, in multiple tiers of the courts and other data sources. </w:t>
      </w:r>
    </w:p>
    <w:p w:rsidR="003F3941" w:rsidRDefault="003F3941"/>
    <w:p w:rsidR="003F3941" w:rsidRDefault="0065392F">
      <w:r>
        <w:rPr>
          <w:b/>
        </w:rPr>
        <w:t>Q: WHAT DOES IT COST?</w:t>
      </w:r>
      <w:r>
        <w:t xml:space="preserve"> </w:t>
      </w:r>
    </w:p>
    <w:p w:rsidR="003F3941" w:rsidRDefault="0065392F">
      <w:pPr>
        <w:widowControl w:val="0"/>
        <w:pBdr>
          <w:top w:val="nil"/>
          <w:left w:val="nil"/>
          <w:bottom w:val="nil"/>
          <w:right w:val="nil"/>
          <w:between w:val="nil"/>
        </w:pBdr>
        <w:ind w:right="71"/>
        <w:rPr>
          <w:color w:val="000000"/>
        </w:rPr>
      </w:pPr>
      <w:r>
        <w:rPr>
          <w:b/>
        </w:rPr>
        <w:t>A:</w:t>
      </w:r>
      <w:r>
        <w:t xml:space="preserve"> </w:t>
      </w:r>
      <w:r>
        <w:t xml:space="preserve">There is a basic fee of </w:t>
      </w:r>
      <w:r>
        <w:t>£40</w:t>
      </w:r>
      <w:r>
        <w:rPr>
          <w:color w:val="000000"/>
        </w:rPr>
        <w:t xml:space="preserve"> per </w:t>
      </w:r>
      <w:r>
        <w:t>search</w:t>
      </w:r>
      <w:r>
        <w:rPr>
          <w:color w:val="000000"/>
        </w:rPr>
        <w:t xml:space="preserve">. For each name searched, </w:t>
      </w:r>
      <w:r>
        <w:t xml:space="preserve">a summary report, and </w:t>
      </w:r>
      <w:r>
        <w:rPr>
          <w:color w:val="000000"/>
        </w:rPr>
        <w:t xml:space="preserve">up to 10 court case </w:t>
      </w:r>
      <w:r>
        <w:t>reports</w:t>
      </w:r>
      <w:r>
        <w:rPr>
          <w:color w:val="000000"/>
        </w:rPr>
        <w:t xml:space="preserve"> with all available detail</w:t>
      </w:r>
      <w:r>
        <w:t xml:space="preserve">s </w:t>
      </w:r>
      <w:r>
        <w:rPr>
          <w:color w:val="000000"/>
        </w:rPr>
        <w:t xml:space="preserve">will be supplied. For names </w:t>
      </w:r>
      <w:r>
        <w:t>which are found to appear</w:t>
      </w:r>
      <w:r>
        <w:rPr>
          <w:color w:val="000000"/>
        </w:rPr>
        <w:t xml:space="preserve"> in more than 10 cases, a summary list of results will be supplied, with a quote for further search work to return reports for all cases. </w:t>
      </w:r>
    </w:p>
    <w:p w:rsidR="003F3941" w:rsidRDefault="0065392F">
      <w:pPr>
        <w:widowControl w:val="0"/>
        <w:pBdr>
          <w:top w:val="nil"/>
          <w:left w:val="nil"/>
          <w:bottom w:val="nil"/>
          <w:right w:val="nil"/>
          <w:between w:val="nil"/>
        </w:pBdr>
        <w:spacing w:before="379"/>
        <w:ind w:right="23"/>
        <w:rPr>
          <w:b/>
          <w:color w:val="000000"/>
        </w:rPr>
      </w:pPr>
      <w:r>
        <w:rPr>
          <w:b/>
          <w:color w:val="000000"/>
        </w:rPr>
        <w:t>Q: HOW DOES IT WORK?</w:t>
      </w:r>
    </w:p>
    <w:p w:rsidR="003F3941" w:rsidRDefault="0065392F">
      <w:pPr>
        <w:widowControl w:val="0"/>
        <w:pBdr>
          <w:top w:val="nil"/>
          <w:left w:val="nil"/>
          <w:bottom w:val="nil"/>
          <w:right w:val="nil"/>
          <w:between w:val="nil"/>
        </w:pBdr>
        <w:ind w:right="23"/>
        <w:rPr>
          <w:color w:val="000000"/>
        </w:rPr>
      </w:pPr>
      <w:r>
        <w:rPr>
          <w:b/>
          <w:color w:val="000000"/>
        </w:rPr>
        <w:t xml:space="preserve">A: </w:t>
      </w:r>
      <w:r>
        <w:rPr>
          <w:color w:val="000000"/>
        </w:rPr>
        <w:t xml:space="preserve">The search service is </w:t>
      </w:r>
      <w:r>
        <w:t>designed</w:t>
      </w:r>
      <w:r>
        <w:rPr>
          <w:color w:val="000000"/>
        </w:rPr>
        <w:t xml:space="preserve"> to find names of people or companies involved in court cases. You submit name or keyword request(s) and our search team will run them against any and all litigation data we have access to and return matches to you by email. F</w:t>
      </w:r>
      <w:r>
        <w:rPr>
          <w:color w:val="000000"/>
        </w:rPr>
        <w:t>or some courts this may be very limited, such as parties, dates of hearings, case number etc. For others it may include all named parties, solicitors on record for all parties, nature of litigation, and a schedule of documents available. The list of source</w:t>
      </w:r>
      <w:r>
        <w:rPr>
          <w:color w:val="000000"/>
        </w:rPr>
        <w:t xml:space="preserve">s is growing each month, but the current list of courts or case types covered is below. </w:t>
      </w:r>
    </w:p>
    <w:p w:rsidR="003F3941" w:rsidRDefault="0065392F">
      <w:pPr>
        <w:widowControl w:val="0"/>
        <w:pBdr>
          <w:top w:val="nil"/>
          <w:left w:val="nil"/>
          <w:bottom w:val="nil"/>
          <w:right w:val="nil"/>
          <w:between w:val="nil"/>
        </w:pBdr>
        <w:spacing w:before="384"/>
        <w:ind w:right="4710"/>
        <w:rPr>
          <w:b/>
          <w:color w:val="000000"/>
        </w:rPr>
      </w:pPr>
      <w:r>
        <w:rPr>
          <w:b/>
          <w:color w:val="000000"/>
        </w:rPr>
        <w:t xml:space="preserve">To run a search, follow these steps: </w:t>
      </w:r>
    </w:p>
    <w:p w:rsidR="003F3941" w:rsidRDefault="0065392F">
      <w:pPr>
        <w:widowControl w:val="0"/>
        <w:numPr>
          <w:ilvl w:val="0"/>
          <w:numId w:val="1"/>
        </w:numPr>
        <w:pBdr>
          <w:top w:val="nil"/>
          <w:left w:val="nil"/>
          <w:bottom w:val="nil"/>
          <w:right w:val="nil"/>
          <w:between w:val="nil"/>
        </w:pBdr>
        <w:spacing w:before="76"/>
        <w:ind w:right="359"/>
      </w:pPr>
      <w:r>
        <w:rPr>
          <w:color w:val="000000"/>
        </w:rPr>
        <w:t xml:space="preserve">Go to the </w:t>
      </w:r>
      <w:proofErr w:type="spellStart"/>
      <w:r>
        <w:rPr>
          <w:color w:val="000000"/>
        </w:rPr>
        <w:t>Courtsdesk</w:t>
      </w:r>
      <w:proofErr w:type="spellEnd"/>
      <w:r>
        <w:rPr>
          <w:color w:val="000000"/>
        </w:rPr>
        <w:t xml:space="preserve"> Searcher entry form: </w:t>
      </w:r>
      <w:hyperlink r:id="rId6">
        <w:r>
          <w:rPr>
            <w:color w:val="1155CC"/>
            <w:sz w:val="23"/>
            <w:szCs w:val="23"/>
            <w:u w:val="single"/>
          </w:rPr>
          <w:t>https://smb19khg.paperform.co/</w:t>
        </w:r>
      </w:hyperlink>
      <w:r>
        <w:rPr>
          <w:color w:val="000000"/>
          <w:sz w:val="23"/>
          <w:szCs w:val="23"/>
        </w:rPr>
        <w:t xml:space="preserve"> </w:t>
      </w:r>
    </w:p>
    <w:p w:rsidR="003F3941" w:rsidRDefault="0065392F">
      <w:pPr>
        <w:widowControl w:val="0"/>
        <w:numPr>
          <w:ilvl w:val="0"/>
          <w:numId w:val="1"/>
        </w:numPr>
        <w:pBdr>
          <w:top w:val="nil"/>
          <w:left w:val="nil"/>
          <w:bottom w:val="nil"/>
          <w:right w:val="nil"/>
          <w:between w:val="nil"/>
        </w:pBdr>
        <w:ind w:right="359"/>
        <w:rPr>
          <w:color w:val="000000"/>
        </w:rPr>
      </w:pPr>
      <w:r>
        <w:rPr>
          <w:color w:val="000000"/>
        </w:rPr>
        <w:t>Fill out the form with your queries and any corresponding notes or details</w:t>
      </w:r>
    </w:p>
    <w:p w:rsidR="003F3941" w:rsidRDefault="0065392F">
      <w:pPr>
        <w:widowControl w:val="0"/>
        <w:numPr>
          <w:ilvl w:val="0"/>
          <w:numId w:val="1"/>
        </w:numPr>
        <w:pBdr>
          <w:top w:val="nil"/>
          <w:left w:val="nil"/>
          <w:bottom w:val="nil"/>
          <w:right w:val="nil"/>
          <w:between w:val="nil"/>
        </w:pBdr>
        <w:ind w:right="359"/>
      </w:pPr>
      <w:r>
        <w:rPr>
          <w:color w:val="000000"/>
        </w:rPr>
        <w:t xml:space="preserve">Pay the appropriate fee - as outlined on the form, depending on your search  </w:t>
      </w:r>
    </w:p>
    <w:p w:rsidR="003F3941" w:rsidRDefault="0065392F">
      <w:pPr>
        <w:widowControl w:val="0"/>
        <w:numPr>
          <w:ilvl w:val="0"/>
          <w:numId w:val="1"/>
        </w:numPr>
        <w:pBdr>
          <w:top w:val="nil"/>
          <w:left w:val="nil"/>
          <w:bottom w:val="nil"/>
          <w:right w:val="nil"/>
          <w:between w:val="nil"/>
        </w:pBdr>
        <w:ind w:right="359"/>
      </w:pPr>
      <w:r>
        <w:rPr>
          <w:color w:val="000000"/>
        </w:rPr>
        <w:t xml:space="preserve">We send you the results by email within </w:t>
      </w:r>
      <w:r>
        <w:t>one working day</w:t>
      </w:r>
      <w:r>
        <w:rPr>
          <w:color w:val="000000"/>
        </w:rPr>
        <w:t xml:space="preserve"> </w:t>
      </w:r>
    </w:p>
    <w:p w:rsidR="003F3941" w:rsidRDefault="003F3941">
      <w:pPr>
        <w:widowControl w:val="0"/>
        <w:pBdr>
          <w:top w:val="nil"/>
          <w:left w:val="nil"/>
          <w:bottom w:val="nil"/>
          <w:right w:val="nil"/>
          <w:between w:val="nil"/>
        </w:pBdr>
        <w:spacing w:before="379"/>
        <w:ind w:right="292"/>
        <w:rPr>
          <w:b/>
        </w:rPr>
      </w:pPr>
    </w:p>
    <w:p w:rsidR="003F3941" w:rsidRDefault="0065392F">
      <w:pPr>
        <w:widowControl w:val="0"/>
        <w:pBdr>
          <w:top w:val="nil"/>
          <w:left w:val="nil"/>
          <w:bottom w:val="nil"/>
          <w:right w:val="nil"/>
          <w:between w:val="nil"/>
        </w:pBdr>
        <w:spacing w:before="379"/>
        <w:ind w:right="292"/>
        <w:rPr>
          <w:b/>
          <w:color w:val="000000"/>
        </w:rPr>
      </w:pPr>
      <w:r>
        <w:rPr>
          <w:b/>
          <w:color w:val="000000"/>
        </w:rPr>
        <w:lastRenderedPageBreak/>
        <w:t xml:space="preserve">Q: WHO CAN I CONTACT IF I HAVE QUERIES? </w:t>
      </w:r>
    </w:p>
    <w:p w:rsidR="003F3941" w:rsidRDefault="0065392F">
      <w:pPr>
        <w:widowControl w:val="0"/>
        <w:pBdr>
          <w:top w:val="nil"/>
          <w:left w:val="nil"/>
          <w:bottom w:val="nil"/>
          <w:right w:val="nil"/>
          <w:between w:val="nil"/>
        </w:pBdr>
        <w:ind w:right="292"/>
      </w:pPr>
      <w:r>
        <w:rPr>
          <w:b/>
          <w:color w:val="000000"/>
        </w:rPr>
        <w:t xml:space="preserve">A: </w:t>
      </w:r>
      <w:proofErr w:type="spellStart"/>
      <w:r>
        <w:rPr>
          <w:color w:val="000000"/>
        </w:rPr>
        <w:t>Courtsdesk</w:t>
      </w:r>
      <w:proofErr w:type="spellEnd"/>
      <w:r>
        <w:rPr>
          <w:color w:val="000000"/>
        </w:rPr>
        <w:t xml:space="preserve"> </w:t>
      </w:r>
      <w:r>
        <w:t xml:space="preserve">support for the Searcher service is available Mon-Fri 9am to 5pm by email. </w:t>
      </w:r>
    </w:p>
    <w:p w:rsidR="003F3941" w:rsidRDefault="003F3941">
      <w:pPr>
        <w:widowControl w:val="0"/>
        <w:pBdr>
          <w:top w:val="nil"/>
          <w:left w:val="nil"/>
          <w:bottom w:val="nil"/>
          <w:right w:val="nil"/>
          <w:between w:val="nil"/>
        </w:pBdr>
        <w:ind w:right="292"/>
        <w:rPr>
          <w:b/>
        </w:rPr>
      </w:pPr>
    </w:p>
    <w:p w:rsidR="003F3941" w:rsidRDefault="0065392F">
      <w:pPr>
        <w:widowControl w:val="0"/>
        <w:pBdr>
          <w:top w:val="nil"/>
          <w:left w:val="nil"/>
          <w:bottom w:val="nil"/>
          <w:right w:val="nil"/>
          <w:between w:val="nil"/>
        </w:pBdr>
        <w:ind w:right="292"/>
        <w:rPr>
          <w:b/>
          <w:color w:val="1155CC"/>
        </w:rPr>
      </w:pPr>
      <w:r>
        <w:rPr>
          <w:b/>
          <w:color w:val="000000"/>
        </w:rPr>
        <w:t xml:space="preserve">Customer support email address: </w:t>
      </w:r>
      <w:r>
        <w:rPr>
          <w:b/>
          <w:color w:val="1155CC"/>
        </w:rPr>
        <w:t xml:space="preserve">searcher@courtsdesk.com </w:t>
      </w:r>
    </w:p>
    <w:p w:rsidR="003F3941" w:rsidRDefault="003F3941">
      <w:pPr>
        <w:widowControl w:val="0"/>
        <w:pBdr>
          <w:top w:val="nil"/>
          <w:left w:val="nil"/>
          <w:bottom w:val="nil"/>
          <w:right w:val="nil"/>
          <w:between w:val="nil"/>
        </w:pBdr>
        <w:ind w:right="139"/>
        <w:rPr>
          <w:b/>
        </w:rPr>
      </w:pPr>
    </w:p>
    <w:p w:rsidR="003F3941" w:rsidRDefault="0065392F">
      <w:pPr>
        <w:widowControl w:val="0"/>
        <w:pBdr>
          <w:top w:val="nil"/>
          <w:left w:val="nil"/>
          <w:bottom w:val="nil"/>
          <w:right w:val="nil"/>
          <w:between w:val="nil"/>
        </w:pBdr>
        <w:ind w:right="139"/>
        <w:rPr>
          <w:b/>
          <w:color w:val="000000"/>
        </w:rPr>
      </w:pPr>
      <w:r>
        <w:rPr>
          <w:b/>
          <w:color w:val="000000"/>
        </w:rPr>
        <w:t xml:space="preserve">Q: WHAT COURTS OR INFORMATION SOURCES ARE INCLUDED? </w:t>
      </w:r>
    </w:p>
    <w:p w:rsidR="003F3941" w:rsidRDefault="0065392F">
      <w:pPr>
        <w:widowControl w:val="0"/>
        <w:pBdr>
          <w:top w:val="nil"/>
          <w:left w:val="nil"/>
          <w:bottom w:val="nil"/>
          <w:right w:val="nil"/>
          <w:between w:val="nil"/>
        </w:pBdr>
        <w:ind w:right="139"/>
        <w:rPr>
          <w:color w:val="1A1A1A"/>
        </w:rPr>
      </w:pPr>
      <w:r>
        <w:rPr>
          <w:b/>
          <w:color w:val="000000"/>
        </w:rPr>
        <w:t xml:space="preserve">A: </w:t>
      </w:r>
      <w:r>
        <w:rPr>
          <w:color w:val="000000"/>
        </w:rPr>
        <w:t xml:space="preserve">Your search will include access to the courts or case types listed below. </w:t>
      </w:r>
      <w:r>
        <w:rPr>
          <w:color w:val="1A1A1A"/>
        </w:rPr>
        <w:t xml:space="preserve">Kindly note this search covers listings of the County Court at London </w:t>
      </w:r>
      <w:r>
        <w:rPr>
          <w:i/>
          <w:color w:val="1A1A1A"/>
        </w:rPr>
        <w:t>only</w:t>
      </w:r>
      <w:r>
        <w:rPr>
          <w:color w:val="1A1A1A"/>
        </w:rPr>
        <w:t xml:space="preserve">, other regional County Courts are not yet available. </w:t>
      </w:r>
      <w:r>
        <w:rPr>
          <w:color w:val="000000"/>
        </w:rPr>
        <w:t>The archive for some High Court cases such as the Lond</w:t>
      </w:r>
      <w:r>
        <w:rPr>
          <w:color w:val="000000"/>
        </w:rPr>
        <w:t>on Commercial and Property Courts begins in June 2017, and for the lower courts such as the County Court at London and regional divisions of the High Court begins in February 2019. We will email clients (i.e. anyone who has used the service and not opted o</w:t>
      </w:r>
      <w:r>
        <w:rPr>
          <w:color w:val="000000"/>
        </w:rPr>
        <w:t xml:space="preserve">ut of update emails) when we add new data sources. </w:t>
      </w:r>
    </w:p>
    <w:p w:rsidR="003F3941" w:rsidRDefault="003F3941">
      <w:pPr>
        <w:widowControl w:val="0"/>
        <w:pBdr>
          <w:top w:val="nil"/>
          <w:left w:val="nil"/>
          <w:bottom w:val="nil"/>
          <w:right w:val="nil"/>
          <w:between w:val="nil"/>
        </w:pBdr>
        <w:ind w:right="1574"/>
      </w:pPr>
    </w:p>
    <w:p w:rsidR="003F3941" w:rsidRDefault="0065392F">
      <w:pPr>
        <w:widowControl w:val="0"/>
        <w:pBdr>
          <w:top w:val="nil"/>
          <w:left w:val="nil"/>
          <w:bottom w:val="nil"/>
          <w:right w:val="nil"/>
          <w:between w:val="nil"/>
        </w:pBdr>
        <w:ind w:right="1574"/>
        <w:rPr>
          <w:color w:val="000000"/>
        </w:rPr>
      </w:pPr>
      <w:r>
        <w:rPr>
          <w:color w:val="000000"/>
        </w:rPr>
        <w:t xml:space="preserve">At </w:t>
      </w:r>
      <w:r>
        <w:t>l</w:t>
      </w:r>
      <w:r>
        <w:rPr>
          <w:color w:val="000000"/>
        </w:rPr>
        <w:t xml:space="preserve">aunch, the jurisdictions and court or case types available </w:t>
      </w:r>
      <w:r>
        <w:t>for search</w:t>
      </w:r>
      <w:r>
        <w:rPr>
          <w:color w:val="000000"/>
        </w:rPr>
        <w:t xml:space="preserve"> are:</w:t>
      </w:r>
    </w:p>
    <w:p w:rsidR="003F3941" w:rsidRDefault="0065392F">
      <w:pPr>
        <w:widowControl w:val="0"/>
        <w:pBdr>
          <w:top w:val="nil"/>
          <w:left w:val="nil"/>
          <w:bottom w:val="nil"/>
          <w:right w:val="nil"/>
          <w:between w:val="nil"/>
        </w:pBdr>
        <w:spacing w:line="240" w:lineRule="auto"/>
        <w:ind w:right="1574"/>
      </w:pPr>
      <w:r>
        <w:rPr>
          <w:color w:val="000000"/>
        </w:rPr>
        <w:t xml:space="preserve"> </w:t>
      </w:r>
    </w:p>
    <w:tbl>
      <w:tblPr>
        <w:tblStyle w:val="a"/>
        <w:tblW w:w="82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2310"/>
        <w:gridCol w:w="1965"/>
      </w:tblGrid>
      <w:tr w:rsidR="003F3941">
        <w:trPr>
          <w:trHeight w:val="62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3F3941" w:rsidRDefault="0065392F">
            <w:pPr>
              <w:widowControl w:val="0"/>
              <w:jc w:val="center"/>
              <w:rPr>
                <w:sz w:val="20"/>
                <w:szCs w:val="20"/>
              </w:rPr>
            </w:pPr>
            <w:r>
              <w:rPr>
                <w:b/>
                <w:sz w:val="20"/>
                <w:szCs w:val="20"/>
              </w:rPr>
              <w:t>DIVISION OF COURTS SEARCHED</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3F3941" w:rsidRDefault="0065392F">
            <w:pPr>
              <w:widowControl w:val="0"/>
              <w:jc w:val="center"/>
              <w:rPr>
                <w:sz w:val="20"/>
                <w:szCs w:val="20"/>
              </w:rPr>
            </w:pPr>
            <w:r>
              <w:rPr>
                <w:b/>
                <w:sz w:val="20"/>
                <w:szCs w:val="20"/>
              </w:rPr>
              <w:t>COMPLETE ARCHIVE SINCE</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3F3941" w:rsidRDefault="0065392F">
            <w:pPr>
              <w:widowControl w:val="0"/>
              <w:jc w:val="center"/>
              <w:rPr>
                <w:sz w:val="20"/>
                <w:szCs w:val="20"/>
              </w:rPr>
            </w:pPr>
            <w:r>
              <w:rPr>
                <w:b/>
                <w:sz w:val="20"/>
                <w:szCs w:val="20"/>
              </w:rPr>
              <w:t>PARTIAL ARCHIVE SINCE</w:t>
            </w: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shd w:val="clear" w:color="auto" w:fill="EDF1F2"/>
            <w:tcMar>
              <w:top w:w="57" w:type="dxa"/>
              <w:left w:w="57" w:type="dxa"/>
              <w:bottom w:w="57" w:type="dxa"/>
              <w:right w:w="57" w:type="dxa"/>
            </w:tcMar>
            <w:vAlign w:val="bottom"/>
          </w:tcPr>
          <w:p w:rsidR="003F3941" w:rsidRDefault="0065392F">
            <w:pPr>
              <w:widowControl w:val="0"/>
              <w:rPr>
                <w:sz w:val="20"/>
                <w:szCs w:val="20"/>
              </w:rPr>
            </w:pPr>
            <w:r>
              <w:rPr>
                <w:b/>
                <w:sz w:val="20"/>
                <w:szCs w:val="20"/>
              </w:rPr>
              <w:t>COURTS OF ENGLAND &amp; WALES</w:t>
            </w:r>
          </w:p>
        </w:tc>
        <w:tc>
          <w:tcPr>
            <w:tcW w:w="2310" w:type="dxa"/>
            <w:tcBorders>
              <w:top w:val="single" w:sz="8" w:space="0" w:color="000000"/>
              <w:left w:val="single" w:sz="8" w:space="0" w:color="000000"/>
              <w:bottom w:val="single" w:sz="8" w:space="0" w:color="000000"/>
              <w:right w:val="single" w:sz="8" w:space="0" w:color="000000"/>
            </w:tcBorders>
            <w:shd w:val="clear" w:color="auto" w:fill="EDF1F2"/>
            <w:tcMar>
              <w:top w:w="57" w:type="dxa"/>
              <w:left w:w="57" w:type="dxa"/>
              <w:bottom w:w="57" w:type="dxa"/>
              <w:right w:w="57" w:type="dxa"/>
            </w:tcMar>
            <w:vAlign w:val="bottom"/>
          </w:tcPr>
          <w:p w:rsidR="003F3941" w:rsidRDefault="003F3941">
            <w:pPr>
              <w:widowControl w:val="0"/>
              <w:rPr>
                <w:sz w:val="20"/>
                <w:szCs w:val="20"/>
              </w:rPr>
            </w:pPr>
          </w:p>
        </w:tc>
        <w:tc>
          <w:tcPr>
            <w:tcW w:w="1965" w:type="dxa"/>
            <w:tcBorders>
              <w:top w:val="single" w:sz="8" w:space="0" w:color="000000"/>
              <w:left w:val="single" w:sz="8" w:space="0" w:color="000000"/>
              <w:bottom w:val="single" w:sz="8" w:space="0" w:color="000000"/>
              <w:right w:val="single" w:sz="8" w:space="0" w:color="000000"/>
            </w:tcBorders>
            <w:shd w:val="clear" w:color="auto" w:fill="EDF1F2"/>
            <w:tcMar>
              <w:top w:w="57" w:type="dxa"/>
              <w:left w:w="57" w:type="dxa"/>
              <w:bottom w:w="57" w:type="dxa"/>
              <w:right w:w="57" w:type="dxa"/>
            </w:tcMar>
            <w:vAlign w:val="bottom"/>
          </w:tcPr>
          <w:p w:rsidR="003F3941" w:rsidRDefault="003F3941">
            <w:pPr>
              <w:widowControl w:val="0"/>
              <w:rPr>
                <w:sz w:val="20"/>
                <w:szCs w:val="20"/>
              </w:rPr>
            </w:pP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County Court at London</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Feb 2019</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jc w:val="center"/>
              <w:rPr>
                <w:sz w:val="20"/>
                <w:szCs w:val="20"/>
              </w:rPr>
            </w:pPr>
            <w:r>
              <w:rPr>
                <w:sz w:val="20"/>
                <w:szCs w:val="20"/>
              </w:rPr>
              <w:t>N/A</w:t>
            </w: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Queen’s Bench Claims</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Apr 2017</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jc w:val="center"/>
              <w:rPr>
                <w:sz w:val="20"/>
                <w:szCs w:val="20"/>
              </w:rPr>
            </w:pPr>
            <w:r>
              <w:rPr>
                <w:sz w:val="20"/>
                <w:szCs w:val="20"/>
              </w:rPr>
              <w:t>2010</w:t>
            </w: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Queen’s Bench Appeals</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Feb 2019</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jc w:val="center"/>
              <w:rPr>
                <w:sz w:val="20"/>
                <w:szCs w:val="20"/>
              </w:rPr>
            </w:pPr>
            <w:r>
              <w:rPr>
                <w:sz w:val="20"/>
                <w:szCs w:val="20"/>
              </w:rPr>
              <w:t>2018</w:t>
            </w: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spacing w:line="240" w:lineRule="auto"/>
            </w:pPr>
            <w:r>
              <w:t>Business and Property Regional Courts outside London</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Feb 2019</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jc w:val="center"/>
              <w:rPr>
                <w:sz w:val="20"/>
                <w:szCs w:val="20"/>
              </w:rPr>
            </w:pPr>
            <w:r>
              <w:rPr>
                <w:sz w:val="20"/>
                <w:szCs w:val="20"/>
              </w:rPr>
              <w:t>2015</w:t>
            </w: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Senior Court Costs Office</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Feb 2019</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jc w:val="center"/>
              <w:rPr>
                <w:sz w:val="20"/>
                <w:szCs w:val="20"/>
              </w:rPr>
            </w:pPr>
            <w:r>
              <w:rPr>
                <w:sz w:val="20"/>
                <w:szCs w:val="20"/>
              </w:rPr>
              <w:t>2016</w:t>
            </w: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Administrative Court, Local Admin Courts and Planning Court</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Feb 2019</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jc w:val="center"/>
              <w:rPr>
                <w:sz w:val="20"/>
                <w:szCs w:val="20"/>
              </w:rPr>
            </w:pPr>
            <w:r>
              <w:rPr>
                <w:sz w:val="20"/>
                <w:szCs w:val="20"/>
              </w:rPr>
              <w:t>2016</w:t>
            </w: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Court of Appeal - Civil Division</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Feb 2019</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jc w:val="center"/>
              <w:rPr>
                <w:sz w:val="20"/>
                <w:szCs w:val="20"/>
              </w:rPr>
            </w:pPr>
            <w:r>
              <w:rPr>
                <w:sz w:val="20"/>
                <w:szCs w:val="20"/>
              </w:rPr>
              <w:t>2016</w:t>
            </w: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Upper Tribunal Immigration and Asylum Chamber</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Feb 2019</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jc w:val="center"/>
              <w:rPr>
                <w:sz w:val="20"/>
                <w:szCs w:val="20"/>
              </w:rPr>
            </w:pPr>
            <w:r>
              <w:rPr>
                <w:sz w:val="20"/>
                <w:szCs w:val="20"/>
              </w:rPr>
              <w:t>2016</w:t>
            </w: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Upper Tribunal Lands Chamber</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Feb 2019</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jc w:val="center"/>
              <w:rPr>
                <w:sz w:val="20"/>
                <w:szCs w:val="20"/>
              </w:rPr>
            </w:pPr>
            <w:r>
              <w:rPr>
                <w:sz w:val="20"/>
                <w:szCs w:val="20"/>
              </w:rPr>
              <w:t>2016</w:t>
            </w: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Upper Tribunal Administrative Appeals Chamber</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Feb 2019</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jc w:val="center"/>
              <w:rPr>
                <w:sz w:val="20"/>
                <w:szCs w:val="20"/>
              </w:rPr>
            </w:pPr>
            <w:r>
              <w:rPr>
                <w:sz w:val="20"/>
                <w:szCs w:val="20"/>
              </w:rPr>
              <w:t>2016</w:t>
            </w: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Upper Tribunal Tax and Chancery Chamber</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Feb 2019</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jc w:val="center"/>
              <w:rPr>
                <w:sz w:val="20"/>
                <w:szCs w:val="20"/>
              </w:rPr>
            </w:pPr>
            <w:r>
              <w:rPr>
                <w:sz w:val="20"/>
                <w:szCs w:val="20"/>
              </w:rPr>
              <w:t>2016</w:t>
            </w: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Admiralty Court</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Feb 2019</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jc w:val="center"/>
              <w:rPr>
                <w:sz w:val="20"/>
                <w:szCs w:val="20"/>
              </w:rPr>
            </w:pPr>
            <w:r>
              <w:rPr>
                <w:sz w:val="20"/>
                <w:szCs w:val="20"/>
              </w:rPr>
              <w:t>2004</w:t>
            </w: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Employment Appeal Tribunal</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Feb 2019</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jc w:val="center"/>
              <w:rPr>
                <w:sz w:val="20"/>
                <w:szCs w:val="20"/>
              </w:rPr>
            </w:pPr>
            <w:r>
              <w:rPr>
                <w:sz w:val="20"/>
                <w:szCs w:val="20"/>
              </w:rPr>
              <w:t>2016</w:t>
            </w: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Crown Court</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Currently published lists</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jc w:val="center"/>
              <w:rPr>
                <w:sz w:val="20"/>
                <w:szCs w:val="20"/>
              </w:rPr>
            </w:pPr>
            <w:r>
              <w:rPr>
                <w:sz w:val="20"/>
                <w:szCs w:val="20"/>
              </w:rPr>
              <w:t>N/A</w:t>
            </w:r>
          </w:p>
        </w:tc>
      </w:tr>
      <w:tr w:rsidR="003F3941">
        <w:trPr>
          <w:trHeight w:val="32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Royal Courts of Justice - Listings</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Feb 2019</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jc w:val="center"/>
              <w:rPr>
                <w:sz w:val="20"/>
                <w:szCs w:val="20"/>
              </w:rPr>
            </w:pPr>
            <w:r>
              <w:rPr>
                <w:sz w:val="20"/>
                <w:szCs w:val="20"/>
              </w:rPr>
              <w:t>N/A</w:t>
            </w: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shd w:val="clear" w:color="auto" w:fill="EDF1F2"/>
            <w:tcMar>
              <w:top w:w="57" w:type="dxa"/>
              <w:left w:w="57" w:type="dxa"/>
              <w:bottom w:w="57" w:type="dxa"/>
              <w:right w:w="57" w:type="dxa"/>
            </w:tcMar>
            <w:vAlign w:val="bottom"/>
          </w:tcPr>
          <w:p w:rsidR="003F3941" w:rsidRDefault="0065392F">
            <w:pPr>
              <w:widowControl w:val="0"/>
              <w:rPr>
                <w:sz w:val="20"/>
                <w:szCs w:val="20"/>
              </w:rPr>
            </w:pPr>
            <w:r>
              <w:rPr>
                <w:b/>
                <w:sz w:val="20"/>
                <w:szCs w:val="20"/>
              </w:rPr>
              <w:t>REPUBLIC OF IRELAND</w:t>
            </w:r>
          </w:p>
        </w:tc>
        <w:tc>
          <w:tcPr>
            <w:tcW w:w="2310" w:type="dxa"/>
            <w:tcBorders>
              <w:top w:val="single" w:sz="8" w:space="0" w:color="000000"/>
              <w:left w:val="single" w:sz="8" w:space="0" w:color="000000"/>
              <w:bottom w:val="single" w:sz="8" w:space="0" w:color="000000"/>
              <w:right w:val="single" w:sz="8" w:space="0" w:color="000000"/>
            </w:tcBorders>
            <w:shd w:val="clear" w:color="auto" w:fill="EDF1F2"/>
            <w:tcMar>
              <w:top w:w="57" w:type="dxa"/>
              <w:left w:w="57" w:type="dxa"/>
              <w:bottom w:w="57" w:type="dxa"/>
              <w:right w:w="57" w:type="dxa"/>
            </w:tcMar>
            <w:vAlign w:val="bottom"/>
          </w:tcPr>
          <w:p w:rsidR="003F3941" w:rsidRDefault="003F3941">
            <w:pPr>
              <w:widowControl w:val="0"/>
              <w:rPr>
                <w:sz w:val="20"/>
                <w:szCs w:val="20"/>
              </w:rPr>
            </w:pPr>
          </w:p>
        </w:tc>
        <w:tc>
          <w:tcPr>
            <w:tcW w:w="1965" w:type="dxa"/>
            <w:tcBorders>
              <w:top w:val="single" w:sz="8" w:space="0" w:color="000000"/>
              <w:left w:val="single" w:sz="8" w:space="0" w:color="000000"/>
              <w:bottom w:val="single" w:sz="8" w:space="0" w:color="000000"/>
              <w:right w:val="single" w:sz="8" w:space="0" w:color="000000"/>
            </w:tcBorders>
            <w:shd w:val="clear" w:color="auto" w:fill="EDF1F2"/>
            <w:tcMar>
              <w:top w:w="57" w:type="dxa"/>
              <w:left w:w="57" w:type="dxa"/>
              <w:bottom w:w="57" w:type="dxa"/>
              <w:right w:w="57" w:type="dxa"/>
            </w:tcMar>
            <w:vAlign w:val="bottom"/>
          </w:tcPr>
          <w:p w:rsidR="003F3941" w:rsidRDefault="003F3941">
            <w:pPr>
              <w:widowControl w:val="0"/>
              <w:rPr>
                <w:sz w:val="20"/>
                <w:szCs w:val="20"/>
              </w:rPr>
            </w:pP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Supreme Court - Appeals from High Court</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Jan 1990</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3F3941">
            <w:pPr>
              <w:widowControl w:val="0"/>
              <w:jc w:val="center"/>
              <w:rPr>
                <w:sz w:val="20"/>
                <w:szCs w:val="20"/>
              </w:rPr>
            </w:pP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lastRenderedPageBreak/>
              <w:t>Court of Appeal - Appeals from High Court</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Jan 1990</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3F3941">
            <w:pPr>
              <w:widowControl w:val="0"/>
              <w:jc w:val="center"/>
              <w:rPr>
                <w:sz w:val="20"/>
                <w:szCs w:val="20"/>
              </w:rPr>
            </w:pP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High Court</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Jan 1990</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3F3941">
            <w:pPr>
              <w:widowControl w:val="0"/>
              <w:jc w:val="center"/>
              <w:rPr>
                <w:sz w:val="20"/>
                <w:szCs w:val="20"/>
              </w:rPr>
            </w:pP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Circuit Court Civil</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Feb 2017</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3F3941">
            <w:pPr>
              <w:widowControl w:val="0"/>
              <w:jc w:val="center"/>
              <w:rPr>
                <w:sz w:val="20"/>
                <w:szCs w:val="20"/>
              </w:rPr>
            </w:pP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Judgments of the Superior Courts</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Jan 1990</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3F3941">
            <w:pPr>
              <w:widowControl w:val="0"/>
              <w:jc w:val="center"/>
              <w:rPr>
                <w:sz w:val="20"/>
                <w:szCs w:val="20"/>
              </w:rPr>
            </w:pP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Circuit Court Criminal</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2 months</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3F3941">
            <w:pPr>
              <w:widowControl w:val="0"/>
              <w:jc w:val="center"/>
              <w:rPr>
                <w:sz w:val="20"/>
                <w:szCs w:val="20"/>
              </w:rPr>
            </w:pP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3F3941">
            <w:pPr>
              <w:widowControl w:val="0"/>
              <w:rPr>
                <w:sz w:val="20"/>
                <w:szCs w:val="20"/>
              </w:rPr>
            </w:pP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3F3941">
            <w:pPr>
              <w:widowControl w:val="0"/>
              <w:rPr>
                <w:sz w:val="20"/>
                <w:szCs w:val="20"/>
              </w:rPr>
            </w:pP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3F3941">
            <w:pPr>
              <w:widowControl w:val="0"/>
              <w:rPr>
                <w:sz w:val="20"/>
                <w:szCs w:val="20"/>
              </w:rPr>
            </w:pP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shd w:val="clear" w:color="auto" w:fill="EDF1F2"/>
            <w:tcMar>
              <w:top w:w="57" w:type="dxa"/>
              <w:left w:w="57" w:type="dxa"/>
              <w:bottom w:w="57" w:type="dxa"/>
              <w:right w:w="57" w:type="dxa"/>
            </w:tcMar>
            <w:vAlign w:val="bottom"/>
          </w:tcPr>
          <w:p w:rsidR="003F3941" w:rsidRDefault="0065392F">
            <w:pPr>
              <w:widowControl w:val="0"/>
              <w:rPr>
                <w:sz w:val="20"/>
                <w:szCs w:val="20"/>
              </w:rPr>
            </w:pPr>
            <w:r>
              <w:rPr>
                <w:b/>
                <w:sz w:val="20"/>
                <w:szCs w:val="20"/>
              </w:rPr>
              <w:t>OTHER DATA SOURCES</w:t>
            </w:r>
          </w:p>
        </w:tc>
        <w:tc>
          <w:tcPr>
            <w:tcW w:w="2310" w:type="dxa"/>
            <w:tcBorders>
              <w:top w:val="single" w:sz="8" w:space="0" w:color="000000"/>
              <w:left w:val="single" w:sz="8" w:space="0" w:color="000000"/>
              <w:bottom w:val="single" w:sz="8" w:space="0" w:color="000000"/>
              <w:right w:val="single" w:sz="8" w:space="0" w:color="000000"/>
            </w:tcBorders>
            <w:shd w:val="clear" w:color="auto" w:fill="EDF1F2"/>
            <w:tcMar>
              <w:top w:w="57" w:type="dxa"/>
              <w:left w:w="57" w:type="dxa"/>
              <w:bottom w:w="57" w:type="dxa"/>
              <w:right w:w="57" w:type="dxa"/>
            </w:tcMar>
            <w:vAlign w:val="bottom"/>
          </w:tcPr>
          <w:p w:rsidR="003F3941" w:rsidRDefault="003F3941">
            <w:pPr>
              <w:widowControl w:val="0"/>
              <w:rPr>
                <w:sz w:val="20"/>
                <w:szCs w:val="20"/>
              </w:rPr>
            </w:pPr>
          </w:p>
        </w:tc>
        <w:tc>
          <w:tcPr>
            <w:tcW w:w="1965" w:type="dxa"/>
            <w:tcBorders>
              <w:top w:val="single" w:sz="8" w:space="0" w:color="000000"/>
              <w:left w:val="single" w:sz="8" w:space="0" w:color="000000"/>
              <w:bottom w:val="single" w:sz="8" w:space="0" w:color="000000"/>
              <w:right w:val="single" w:sz="8" w:space="0" w:color="000000"/>
            </w:tcBorders>
            <w:shd w:val="clear" w:color="auto" w:fill="EDF1F2"/>
            <w:tcMar>
              <w:top w:w="57" w:type="dxa"/>
              <w:left w:w="57" w:type="dxa"/>
              <w:bottom w:w="57" w:type="dxa"/>
              <w:right w:w="57" w:type="dxa"/>
            </w:tcMar>
            <w:vAlign w:val="bottom"/>
          </w:tcPr>
          <w:p w:rsidR="003F3941" w:rsidRDefault="003F3941">
            <w:pPr>
              <w:widowControl w:val="0"/>
              <w:rPr>
                <w:sz w:val="20"/>
                <w:szCs w:val="20"/>
              </w:rPr>
            </w:pP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Companies House - UK</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Jan 1990</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3F3941">
            <w:pPr>
              <w:widowControl w:val="0"/>
              <w:jc w:val="center"/>
              <w:rPr>
                <w:sz w:val="20"/>
                <w:szCs w:val="20"/>
              </w:rPr>
            </w:pPr>
          </w:p>
        </w:tc>
      </w:tr>
      <w:tr w:rsidR="003F3941">
        <w:trPr>
          <w:trHeight w:val="300"/>
          <w:jc w:val="center"/>
        </w:trPr>
        <w:tc>
          <w:tcPr>
            <w:tcW w:w="39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Companies Registration Office - IRL</w:t>
            </w:r>
          </w:p>
        </w:tc>
        <w:tc>
          <w:tcPr>
            <w:tcW w:w="23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65392F">
            <w:pPr>
              <w:widowControl w:val="0"/>
              <w:rPr>
                <w:sz w:val="20"/>
                <w:szCs w:val="20"/>
              </w:rPr>
            </w:pPr>
            <w:r>
              <w:rPr>
                <w:sz w:val="20"/>
                <w:szCs w:val="20"/>
              </w:rPr>
              <w:t>Jan 1990</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tcPr>
          <w:p w:rsidR="003F3941" w:rsidRDefault="003F3941">
            <w:pPr>
              <w:widowControl w:val="0"/>
              <w:jc w:val="center"/>
              <w:rPr>
                <w:sz w:val="20"/>
                <w:szCs w:val="20"/>
              </w:rPr>
            </w:pPr>
          </w:p>
        </w:tc>
      </w:tr>
    </w:tbl>
    <w:p w:rsidR="003F3941" w:rsidRDefault="0065392F">
      <w:pPr>
        <w:jc w:val="center"/>
        <w:rPr>
          <w:b/>
        </w:rPr>
      </w:pPr>
      <w:r>
        <w:rPr>
          <w:i/>
        </w:rPr>
        <w:t>*NOTE: See below for example of formatted results</w:t>
      </w:r>
    </w:p>
    <w:p w:rsidR="003F3941" w:rsidRDefault="003F3941">
      <w:pPr>
        <w:widowControl w:val="0"/>
        <w:pBdr>
          <w:top w:val="nil"/>
          <w:left w:val="nil"/>
          <w:bottom w:val="nil"/>
          <w:right w:val="nil"/>
          <w:between w:val="nil"/>
        </w:pBdr>
        <w:spacing w:line="240" w:lineRule="auto"/>
        <w:ind w:right="23"/>
        <w:rPr>
          <w:b/>
        </w:rPr>
      </w:pPr>
    </w:p>
    <w:p w:rsidR="003F3941" w:rsidRDefault="0065392F">
      <w:pPr>
        <w:widowControl w:val="0"/>
        <w:pBdr>
          <w:top w:val="nil"/>
          <w:left w:val="nil"/>
          <w:bottom w:val="nil"/>
          <w:right w:val="nil"/>
          <w:between w:val="nil"/>
        </w:pBdr>
        <w:spacing w:line="240" w:lineRule="auto"/>
        <w:ind w:right="23"/>
        <w:rPr>
          <w:b/>
        </w:rPr>
      </w:pPr>
      <w:r>
        <w:rPr>
          <w:b/>
          <w:color w:val="000000"/>
        </w:rPr>
        <w:t xml:space="preserve">Q: WHAT OTHER SEARCH SERVICES ARE AVAILABLE? </w:t>
      </w:r>
    </w:p>
    <w:p w:rsidR="003F3941" w:rsidRDefault="0065392F">
      <w:pPr>
        <w:widowControl w:val="0"/>
        <w:pBdr>
          <w:top w:val="nil"/>
          <w:left w:val="nil"/>
          <w:bottom w:val="nil"/>
          <w:right w:val="nil"/>
          <w:between w:val="nil"/>
        </w:pBdr>
        <w:ind w:right="23"/>
        <w:rPr>
          <w:color w:val="000000"/>
        </w:rPr>
      </w:pPr>
      <w:r>
        <w:rPr>
          <w:b/>
          <w:color w:val="000000"/>
        </w:rPr>
        <w:t xml:space="preserve">A: </w:t>
      </w:r>
      <w:proofErr w:type="spellStart"/>
      <w:r>
        <w:rPr>
          <w:color w:val="000000"/>
        </w:rPr>
        <w:t>Courtsdesk</w:t>
      </w:r>
      <w:proofErr w:type="spellEnd"/>
      <w:r>
        <w:rPr>
          <w:color w:val="000000"/>
        </w:rPr>
        <w:t xml:space="preserve"> offers other data and software solutions, providing very large search and analytics of the courts and companies, and a</w:t>
      </w:r>
      <w:r>
        <w:t xml:space="preserve"> self-search</w:t>
      </w:r>
      <w:r>
        <w:rPr>
          <w:color w:val="000000"/>
        </w:rPr>
        <w:t xml:space="preserve"> online web portal for research in the Republic of Ireland. </w:t>
      </w:r>
    </w:p>
    <w:p w:rsidR="003F3941" w:rsidRDefault="003F3941">
      <w:pPr>
        <w:widowControl w:val="0"/>
        <w:pBdr>
          <w:top w:val="nil"/>
          <w:left w:val="nil"/>
          <w:bottom w:val="nil"/>
          <w:right w:val="nil"/>
          <w:between w:val="nil"/>
        </w:pBdr>
        <w:ind w:right="23"/>
        <w:rPr>
          <w:b/>
        </w:rPr>
      </w:pPr>
    </w:p>
    <w:p w:rsidR="003F3941" w:rsidRDefault="0065392F">
      <w:pPr>
        <w:widowControl w:val="0"/>
        <w:pBdr>
          <w:top w:val="nil"/>
          <w:left w:val="nil"/>
          <w:bottom w:val="nil"/>
          <w:right w:val="nil"/>
          <w:between w:val="nil"/>
        </w:pBdr>
        <w:ind w:right="23"/>
      </w:pPr>
      <w:proofErr w:type="spellStart"/>
      <w:r>
        <w:rPr>
          <w:b/>
          <w:i/>
        </w:rPr>
        <w:t>Courtsdesk</w:t>
      </w:r>
      <w:proofErr w:type="spellEnd"/>
      <w:r>
        <w:rPr>
          <w:b/>
          <w:i/>
        </w:rPr>
        <w:t xml:space="preserve"> Document Retrieval -</w:t>
      </w:r>
      <w:r>
        <w:rPr>
          <w:i/>
        </w:rPr>
        <w:t xml:space="preserve"> </w:t>
      </w:r>
      <w:r>
        <w:t xml:space="preserve">another service that can be provided through </w:t>
      </w:r>
      <w:proofErr w:type="spellStart"/>
      <w:r>
        <w:t>Courtsdesk</w:t>
      </w:r>
      <w:proofErr w:type="spellEnd"/>
      <w:r>
        <w:t xml:space="preserve"> Searcher is the retrieval of HMCTS documents. If there are documents relating to the name or company you requested to be searched, they will be detailed within the resu</w:t>
      </w:r>
      <w:r>
        <w:t xml:space="preserve">lts returned to you (view the sample below to see what you can expect). The cost per document outlined by HMCTS must be covered as well as an additional </w:t>
      </w:r>
      <w:r>
        <w:t>£</w:t>
      </w:r>
      <w:r>
        <w:t xml:space="preserve">20 search and retrieval fee which covers the retrieval of up to ten documents. </w:t>
      </w:r>
    </w:p>
    <w:p w:rsidR="003F3941" w:rsidRDefault="003F3941">
      <w:pPr>
        <w:widowControl w:val="0"/>
        <w:pBdr>
          <w:top w:val="nil"/>
          <w:left w:val="nil"/>
          <w:bottom w:val="nil"/>
          <w:right w:val="nil"/>
          <w:between w:val="nil"/>
        </w:pBdr>
        <w:ind w:right="23"/>
      </w:pPr>
    </w:p>
    <w:p w:rsidR="003F3941" w:rsidRDefault="0065392F">
      <w:pPr>
        <w:widowControl w:val="0"/>
        <w:pBdr>
          <w:top w:val="nil"/>
          <w:left w:val="nil"/>
          <w:bottom w:val="nil"/>
          <w:right w:val="nil"/>
          <w:between w:val="nil"/>
        </w:pBdr>
        <w:ind w:right="23"/>
        <w:rPr>
          <w:i/>
        </w:rPr>
      </w:pPr>
      <w:r>
        <w:rPr>
          <w:i/>
        </w:rPr>
        <w:t>For example to retrie</w:t>
      </w:r>
      <w:r>
        <w:rPr>
          <w:i/>
        </w:rPr>
        <w:t xml:space="preserve">ve 3 documents: </w:t>
      </w:r>
    </w:p>
    <w:p w:rsidR="003F3941" w:rsidRDefault="003F3941">
      <w:pPr>
        <w:widowControl w:val="0"/>
        <w:pBdr>
          <w:top w:val="nil"/>
          <w:left w:val="nil"/>
          <w:bottom w:val="nil"/>
          <w:right w:val="nil"/>
          <w:between w:val="nil"/>
        </w:pBdr>
        <w:ind w:right="23"/>
      </w:pPr>
    </w:p>
    <w:p w:rsidR="003F3941" w:rsidRDefault="0065392F">
      <w:pPr>
        <w:widowControl w:val="0"/>
        <w:pBdr>
          <w:top w:val="nil"/>
          <w:left w:val="nil"/>
          <w:bottom w:val="nil"/>
          <w:right w:val="nil"/>
          <w:between w:val="nil"/>
        </w:pBdr>
        <w:ind w:left="720" w:right="23"/>
      </w:pPr>
      <w:r>
        <w:t>Search retrieval fee</w:t>
      </w:r>
      <w:r>
        <w:tab/>
      </w:r>
      <w:r>
        <w:tab/>
      </w:r>
      <w:r>
        <w:tab/>
      </w:r>
      <w:r>
        <w:tab/>
        <w:t>£30 (excl. VAT if applicable)</w:t>
      </w:r>
    </w:p>
    <w:p w:rsidR="003F3941" w:rsidRDefault="0065392F">
      <w:pPr>
        <w:widowControl w:val="0"/>
        <w:pBdr>
          <w:top w:val="nil"/>
          <w:left w:val="nil"/>
          <w:bottom w:val="nil"/>
          <w:right w:val="nil"/>
          <w:between w:val="nil"/>
        </w:pBdr>
        <w:ind w:left="720" w:right="23"/>
      </w:pPr>
      <w:r>
        <w:t>Three documents £10 per document</w:t>
      </w:r>
      <w:r>
        <w:tab/>
      </w:r>
      <w:r>
        <w:tab/>
        <w:t>£30 (excl. VAT if applicable)</w:t>
      </w:r>
    </w:p>
    <w:p w:rsidR="003F3941" w:rsidRDefault="0065392F">
      <w:pPr>
        <w:widowControl w:val="0"/>
        <w:pBdr>
          <w:top w:val="nil"/>
          <w:left w:val="nil"/>
          <w:bottom w:val="nil"/>
          <w:right w:val="nil"/>
          <w:between w:val="nil"/>
        </w:pBdr>
        <w:ind w:left="720" w:right="23"/>
      </w:pPr>
      <w:r>
        <w:rPr>
          <w:b/>
        </w:rPr>
        <w:t>Total</w:t>
      </w:r>
      <w:r>
        <w:rPr>
          <w:b/>
        </w:rPr>
        <w:tab/>
      </w:r>
      <w:r>
        <w:rPr>
          <w:b/>
        </w:rPr>
        <w:tab/>
      </w:r>
      <w:r>
        <w:tab/>
      </w:r>
      <w:r>
        <w:tab/>
      </w:r>
      <w:r>
        <w:tab/>
      </w:r>
      <w:r>
        <w:tab/>
        <w:t>£60 (excl. VAT if applicable)</w:t>
      </w:r>
    </w:p>
    <w:p w:rsidR="003F3941" w:rsidRDefault="003F3941">
      <w:pPr>
        <w:widowControl w:val="0"/>
        <w:pBdr>
          <w:top w:val="nil"/>
          <w:left w:val="nil"/>
          <w:bottom w:val="nil"/>
          <w:right w:val="nil"/>
          <w:between w:val="nil"/>
        </w:pBdr>
        <w:ind w:right="23"/>
      </w:pPr>
    </w:p>
    <w:p w:rsidR="003F3941" w:rsidRDefault="0065392F">
      <w:pPr>
        <w:widowControl w:val="0"/>
        <w:pBdr>
          <w:top w:val="nil"/>
          <w:left w:val="nil"/>
          <w:bottom w:val="nil"/>
          <w:right w:val="nil"/>
          <w:between w:val="nil"/>
        </w:pBdr>
        <w:ind w:right="23"/>
      </w:pPr>
      <w:r>
        <w:t xml:space="preserve">To request documents, simply email </w:t>
      </w:r>
      <w:hyperlink r:id="rId7">
        <w:r>
          <w:rPr>
            <w:color w:val="1155CC"/>
            <w:u w:val="single"/>
          </w:rPr>
          <w:t>seacher@courtsdesk.com</w:t>
        </w:r>
      </w:hyperlink>
      <w:r>
        <w:t>.</w:t>
      </w:r>
    </w:p>
    <w:p w:rsidR="003F3941" w:rsidRDefault="0065392F">
      <w:pPr>
        <w:widowControl w:val="0"/>
        <w:pBdr>
          <w:top w:val="nil"/>
          <w:left w:val="nil"/>
          <w:bottom w:val="nil"/>
          <w:right w:val="nil"/>
          <w:between w:val="nil"/>
        </w:pBdr>
        <w:spacing w:before="379"/>
        <w:ind w:right="28"/>
        <w:rPr>
          <w:color w:val="000000"/>
        </w:rPr>
      </w:pPr>
      <w:proofErr w:type="spellStart"/>
      <w:r>
        <w:rPr>
          <w:b/>
          <w:i/>
          <w:color w:val="000000"/>
        </w:rPr>
        <w:t>Courtsdesk</w:t>
      </w:r>
      <w:proofErr w:type="spellEnd"/>
      <w:r>
        <w:rPr>
          <w:b/>
          <w:i/>
          <w:color w:val="000000"/>
        </w:rPr>
        <w:t xml:space="preserve"> Data Services -</w:t>
      </w:r>
      <w:r>
        <w:rPr>
          <w:i/>
          <w:color w:val="000000"/>
        </w:rPr>
        <w:t xml:space="preserve"> </w:t>
      </w:r>
      <w:r>
        <w:rPr>
          <w:color w:val="000000"/>
        </w:rPr>
        <w:t xml:space="preserve">provides reports on larger numbers of entities, or on corporates which have large volumes of litigation. Data solutions include live API services, and bespoke data investigations. Contact </w:t>
      </w:r>
      <w:r>
        <w:rPr>
          <w:color w:val="1155CC"/>
        </w:rPr>
        <w:t xml:space="preserve">sales@courtsdesk.com </w:t>
      </w:r>
      <w:r>
        <w:rPr>
          <w:color w:val="000000"/>
        </w:rPr>
        <w:t xml:space="preserve">and a support agent can help. </w:t>
      </w:r>
    </w:p>
    <w:p w:rsidR="003F3941" w:rsidRDefault="0065392F">
      <w:pPr>
        <w:widowControl w:val="0"/>
        <w:pBdr>
          <w:top w:val="nil"/>
          <w:left w:val="nil"/>
          <w:bottom w:val="nil"/>
          <w:right w:val="nil"/>
          <w:between w:val="nil"/>
        </w:pBdr>
        <w:spacing w:before="379"/>
        <w:ind w:right="9"/>
      </w:pPr>
      <w:r>
        <w:rPr>
          <w:b/>
          <w:i/>
          <w:color w:val="000000"/>
        </w:rPr>
        <w:t xml:space="preserve">Courtsdesk.com </w:t>
      </w:r>
      <w:r>
        <w:rPr>
          <w:b/>
          <w:color w:val="000000"/>
        </w:rPr>
        <w:t xml:space="preserve">- </w:t>
      </w:r>
      <w:r>
        <w:rPr>
          <w:color w:val="000000"/>
        </w:rPr>
        <w:t>is an online search portal for litigation</w:t>
      </w:r>
      <w:r>
        <w:t xml:space="preserve">, </w:t>
      </w:r>
      <w:r>
        <w:rPr>
          <w:color w:val="000000"/>
        </w:rPr>
        <w:t xml:space="preserve">company, </w:t>
      </w:r>
      <w:proofErr w:type="gramStart"/>
      <w:r>
        <w:rPr>
          <w:color w:val="000000"/>
        </w:rPr>
        <w:t>d</w:t>
      </w:r>
      <w:r>
        <w:t>irector</w:t>
      </w:r>
      <w:proofErr w:type="gramEnd"/>
      <w:r>
        <w:t xml:space="preserve"> and insolvency data</w:t>
      </w:r>
      <w:r>
        <w:rPr>
          <w:color w:val="000000"/>
        </w:rPr>
        <w:t xml:space="preserve"> searches in Ireland. This can be accessed by purchasing an annual or monthly licence. Go to </w:t>
      </w:r>
      <w:r>
        <w:rPr>
          <w:color w:val="1155CC"/>
        </w:rPr>
        <w:t>www.courtsdesk</w:t>
      </w:r>
      <w:r>
        <w:rPr>
          <w:color w:val="1155CC"/>
        </w:rPr>
        <w:t xml:space="preserve">.com </w:t>
      </w:r>
      <w:r>
        <w:rPr>
          <w:color w:val="000000"/>
        </w:rPr>
        <w:t xml:space="preserve">and click ‘request access’ to arrange a subscription. </w:t>
      </w:r>
    </w:p>
    <w:sectPr w:rsidR="003F3941">
      <w:pgSz w:w="11906" w:h="16838"/>
      <w:pgMar w:top="708" w:right="1440" w:bottom="1440" w:left="1440" w:header="1008"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Helvetica Neue">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73FD0"/>
    <w:multiLevelType w:val="multilevel"/>
    <w:tmpl w:val="9312AB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41"/>
    <w:rsid w:val="003F3941"/>
    <w:rsid w:val="00653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1608A-FA86-4CB4-920E-AFD8DAC0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acher@courtsdes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b19khg.paperform.c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BF</dc:creator>
  <cp:lastModifiedBy>BF</cp:lastModifiedBy>
  <cp:revision>2</cp:revision>
  <dcterms:created xsi:type="dcterms:W3CDTF">2020-10-14T13:52:00Z</dcterms:created>
  <dcterms:modified xsi:type="dcterms:W3CDTF">2020-10-14T13:52:00Z</dcterms:modified>
</cp:coreProperties>
</file>